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45" w:rsidRDefault="00E67245">
      <w:pPr>
        <w:rPr>
          <w:b/>
        </w:rPr>
      </w:pPr>
      <w:r w:rsidRPr="00E67245">
        <w:rPr>
          <w:b/>
        </w:rPr>
        <w:t>UYUŞTURUCU VE PSİKOTROP MADDELERİNİN KAÇAKÇILIĞINA KARŞI BİRLEŞMİŞ MİLLETLER SÖZLEŞMESİ</w:t>
      </w:r>
    </w:p>
    <w:p w:rsidR="009C4825" w:rsidRPr="00E67245" w:rsidRDefault="00D56EE0">
      <w:pPr>
        <w:rPr>
          <w:b/>
        </w:rPr>
      </w:pPr>
      <w:r>
        <w:rPr>
          <w:b/>
        </w:rPr>
        <w:t xml:space="preserve">30111 sayılı ve  01.07.2017 tarihli </w:t>
      </w:r>
      <w:r w:rsidR="009C4825">
        <w:rPr>
          <w:b/>
        </w:rPr>
        <w:t xml:space="preserve"> YÖNETMELİK</w:t>
      </w:r>
    </w:p>
    <w:p w:rsidR="00E67245" w:rsidRPr="00214917" w:rsidRDefault="00E67245">
      <w:pPr>
        <w:rPr>
          <w:b/>
        </w:rPr>
      </w:pPr>
      <w:r w:rsidRPr="00E67245">
        <w:rPr>
          <w:b/>
        </w:rPr>
        <w:t>Madde 17</w:t>
      </w:r>
      <w:r>
        <w:t xml:space="preserve"> Deniz Yoluyla Kaçakçılık 1. Taraflar, uluslararası deniz hukukuna uygun olarak, deniz yoluyla yapılan kaçakçılığı önlemek amacıyla mümkün olan en ileri düzeyde işbirliği yapacaklardır. 2. Kendi bayrağını taşıyan veya hiçbir bayrak veya kayıt işareti görülmeyen bir geminin uyuşturucu madde kaçakçılığı yaptığına dair makul bir şüphesi olan bir Taraf, geminin bu amaçla kullanımına son vermek amacıyla diğer Tarafların yardımını talep edebilecektir. Böyle bir talepte bulunulan Taraflar </w:t>
      </w:r>
      <w:proofErr w:type="gramStart"/>
      <w:r>
        <w:t>imkanları</w:t>
      </w:r>
      <w:proofErr w:type="gramEnd"/>
      <w:r>
        <w:t xml:space="preserve"> ölçüsünde yardımda bulunacaklardır. 3. Uluslar arası hukuka uygun olarak seyrüsefer </w:t>
      </w:r>
      <w:proofErr w:type="gramStart"/>
      <w:r>
        <w:t>serbestisinden</w:t>
      </w:r>
      <w:proofErr w:type="gramEnd"/>
      <w:r>
        <w:t xml:space="preserve"> yararlanan ve diğer bir Tarafın bayrağını veya kayıt işaretlerini taşıyan bir geminin kaçakçılık yaptığına dair makul gerekçelere sahip olan bir Taraf, bayrak Devletine bu durumu bildirebilecek, kaydın doğrulanmasını ve doğrulanması halinde gemiyle ilgili olarak uygun önlemleri almak için bayrak Devletinden izin isteyebilecektir. 4. 3. fıkraya veya aralarında yürürlükte bulunan antlaşmalara veya ayrıca aksettikleri anlaşma veya düzenlemelere uygun olarak, bayrak Devleti talep eden Devlete başka işlemler </w:t>
      </w:r>
      <w:proofErr w:type="gramStart"/>
      <w:r>
        <w:t>yanında :</w:t>
      </w:r>
      <w:proofErr w:type="gramEnd"/>
      <w:r>
        <w:t xml:space="preserve"> </w:t>
      </w:r>
    </w:p>
    <w:p w:rsidR="00E67245" w:rsidRDefault="00E67245">
      <w:r>
        <w:t xml:space="preserve">(a)Gemiye çıkılması; </w:t>
      </w:r>
    </w:p>
    <w:p w:rsidR="00E67245" w:rsidRDefault="00E67245">
      <w:r>
        <w:t xml:space="preserve">(b) Geminin aranması; </w:t>
      </w:r>
    </w:p>
    <w:p w:rsidR="00E67245" w:rsidRDefault="00E67245" w:rsidP="00214917">
      <w:pPr>
        <w:spacing w:after="0"/>
      </w:pPr>
      <w:r>
        <w:t xml:space="preserve">(c) Kaçakçılığa ilişkin deliller bulunması halinde gemiye, gemideki kişilere ve yüküne ilişkin olarak uygun işlemlerin yapılması için izin verebilecektir. </w:t>
      </w:r>
    </w:p>
    <w:p w:rsidR="00214917" w:rsidRDefault="00214917" w:rsidP="00214917">
      <w:pPr>
        <w:spacing w:after="0"/>
      </w:pPr>
    </w:p>
    <w:p w:rsidR="00214917" w:rsidRDefault="00E67245" w:rsidP="00214917">
      <w:pPr>
        <w:spacing w:after="0"/>
      </w:pPr>
      <w:r>
        <w:t>5. Bu madde uyarınca işlem yapılması durumunda, ilgili Taraflar denizde can güvenliği ile gemi ve yükünün güvenliğinin tehlikeye atılmaması ve bayrak Devletinin veya ilgili diğer herhangi bir Devletin ticari ve hukuki çıkarlarının haleldar edilmemesi gerektiğini göz önünde tutacaklardır.</w:t>
      </w:r>
    </w:p>
    <w:p w:rsidR="00214917" w:rsidRDefault="00E67245" w:rsidP="00214917">
      <w:pPr>
        <w:spacing w:after="0"/>
      </w:pPr>
      <w:r>
        <w:t xml:space="preserve"> 6. Bayrak Devleti, bu maddenin 1. fıkrasındaki yükümlülüklerine uygun olacak ölçüde, vereceği müsaadeyi talep eden Taraf ile sorumluluğa ilişkin koşullar </w:t>
      </w:r>
      <w:proofErr w:type="gramStart"/>
      <w:r>
        <w:t>dahil</w:t>
      </w:r>
      <w:proofErr w:type="gramEnd"/>
      <w:r>
        <w:t xml:space="preserve"> karşılıklı olarak kabul edilecek koşullara bağlı kalabilecektir. </w:t>
      </w:r>
    </w:p>
    <w:p w:rsidR="00214917" w:rsidRDefault="00E67245" w:rsidP="00214917">
      <w:pPr>
        <w:spacing w:after="0"/>
      </w:pPr>
      <w:r>
        <w:t>7. Bu maddenin 3. ve 4. fıkralarında belirtilen amaçlar için Taraf her Devlet, bir geminin kendi bayrağını çekmeye hakkı olup olmadığını tespit amacıyla bir diğer Tarafça yapılan taleplerle 3. fıkra uyarınca yapılan izin taleplerini gecikmeksizin cevaplandıracaktır. Bu Sözleşmeye taraf olunurken, her Taraf, bu tür talepleri kabul edecek ve cevaplandıracak yetkili makamı veya gerekiyorsa makamları belirleyecektir. Belirlemeyi takip eden bir ay içinde, belirlenen makam Genel Sekreter aracılığıyla diğer tüm Taraflara bildirilecektir.</w:t>
      </w:r>
    </w:p>
    <w:p w:rsidR="00214917" w:rsidRDefault="00E67245" w:rsidP="00214917">
      <w:pPr>
        <w:spacing w:after="0"/>
      </w:pPr>
      <w:r>
        <w:t xml:space="preserve">8. Bu madde uyarınca herhangi bir işlem yapan bir Taraf, bu işlemin sonuçlarını ilgili bayrak Devletine gecikmesizin bildirecektir. </w:t>
      </w:r>
    </w:p>
    <w:p w:rsidR="00214917" w:rsidRDefault="00E67245" w:rsidP="00214917">
      <w:pPr>
        <w:spacing w:after="0"/>
      </w:pPr>
      <w:r>
        <w:t>9. Taraflar bu maddenin hükümlerini uygulamak veya daha etkili kılmak amacıyla ikili veya bölgesel anlaşma veya düzenlemeler akdedilmesini göz önünde bulunduracaklardır.</w:t>
      </w:r>
    </w:p>
    <w:p w:rsidR="00214917" w:rsidRDefault="00E67245" w:rsidP="00214917">
      <w:pPr>
        <w:spacing w:after="0"/>
      </w:pPr>
      <w:r>
        <w:t xml:space="preserve"> 10. Bu maddenin 4. fıkrasında belirtilen işlemler, sadece, askeri gemi veya askeri uçaklarla Devlet hizmetinde olduğunu gösteren açık işaretler taşıyan, bu şekilde kolayca tanınabilecek ve usulüne uygun biçimde yetkili kılınmış diğer gemi veya uçaklar tarafından yerine getirilebilecektir.</w:t>
      </w:r>
    </w:p>
    <w:p w:rsidR="003321BC" w:rsidRDefault="00E67245" w:rsidP="00214917">
      <w:pPr>
        <w:spacing w:after="0"/>
      </w:pPr>
      <w:r>
        <w:t xml:space="preserve"> 11. Bu madde uyarınca yapılacak tüm işlemlerde, kıyı Devletlerinin hak ve yükümlülükleriyle uluslar arası deniz hukukuna uygun olarak kullanacakları </w:t>
      </w:r>
      <w:proofErr w:type="spellStart"/>
      <w:r>
        <w:t>kazai</w:t>
      </w:r>
      <w:proofErr w:type="spellEnd"/>
      <w:r>
        <w:t xml:space="preserve"> yetkilerin haleldar edilmemesi veya etkilenmemesi gereği göz önünde tutulacaktır.</w:t>
      </w:r>
    </w:p>
    <w:sectPr w:rsidR="003321BC" w:rsidSect="003321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7245"/>
    <w:rsid w:val="00214917"/>
    <w:rsid w:val="003321BC"/>
    <w:rsid w:val="009C4825"/>
    <w:rsid w:val="00D56EE0"/>
    <w:rsid w:val="00E672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8</cp:revision>
  <dcterms:created xsi:type="dcterms:W3CDTF">2017-08-08T11:12:00Z</dcterms:created>
  <dcterms:modified xsi:type="dcterms:W3CDTF">2017-08-08T11:23:00Z</dcterms:modified>
</cp:coreProperties>
</file>